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AA8" w14:textId="60CC2A6B" w:rsidR="00D15346" w:rsidRPr="00D15346" w:rsidRDefault="00D15346">
      <w:pPr>
        <w:rPr>
          <w:rFonts w:ascii="Arial" w:hAnsi="Arial" w:cs="Arial"/>
          <w:u w:val="single"/>
        </w:rPr>
      </w:pPr>
      <w:r w:rsidRPr="00D15346">
        <w:rPr>
          <w:rFonts w:ascii="Arial" w:hAnsi="Arial" w:cs="Arial"/>
          <w:u w:val="single"/>
        </w:rPr>
        <w:t xml:space="preserve">Über das Ethos des Juristen – Fußnoten </w:t>
      </w:r>
    </w:p>
    <w:p w14:paraId="25FABF1B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t>[*]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Matthias Mahlmann</w:t>
      </w:r>
      <w:r>
        <w:rPr>
          <w:rFonts w:ascii="Duru Sans" w:hAnsi="Duru Sans"/>
          <w:color w:val="4E4C4C"/>
          <w:sz w:val="18"/>
          <w:szCs w:val="18"/>
        </w:rPr>
        <w:t>, Konkrete Gerechtigkeit, 5. Aufl., Baden-Baden 2021, S. 17.</w:t>
      </w:r>
    </w:p>
    <w:bookmarkStart w:id="0" w:name="Fn1"/>
    <w:p w14:paraId="1F823B2A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0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Karl Larenz</w:t>
      </w:r>
      <w:r>
        <w:rPr>
          <w:rFonts w:ascii="Duru Sans" w:hAnsi="Duru Sans"/>
          <w:color w:val="4E4C4C"/>
          <w:sz w:val="18"/>
          <w:szCs w:val="18"/>
        </w:rPr>
        <w:t>, Über die Unentbehrlichkeit der Jurisprudenz als Wissenschaft: Vortrag gehalten vor der Berliner Juristischen Gesellschaft am 20. April 1966.</w:t>
      </w:r>
    </w:p>
    <w:bookmarkStart w:id="1" w:name="_ftn3"/>
    <w:p w14:paraId="62247141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Platon</w:t>
      </w:r>
      <w:r>
        <w:rPr>
          <w:rFonts w:ascii="Duru Sans" w:hAnsi="Duru Sans"/>
          <w:color w:val="4E4C4C"/>
          <w:sz w:val="18"/>
          <w:szCs w:val="18"/>
        </w:rPr>
        <w:t>, Nomoi, 857d f.</w:t>
      </w:r>
    </w:p>
    <w:bookmarkStart w:id="2" w:name="_ftn4"/>
    <w:p w14:paraId="2B19B0E4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 xml:space="preserve">Franca </w:t>
      </w:r>
      <w:proofErr w:type="spellStart"/>
      <w:r>
        <w:rPr>
          <w:rStyle w:val="Hervorhebung"/>
          <w:rFonts w:ascii="Duru Sans" w:hAnsi="Duru Sans"/>
          <w:color w:val="4E4C4C"/>
          <w:sz w:val="18"/>
          <w:szCs w:val="18"/>
        </w:rPr>
        <w:t>Parianen</w:t>
      </w:r>
      <w:proofErr w:type="spellEnd"/>
      <w:r>
        <w:rPr>
          <w:rFonts w:ascii="Duru Sans" w:hAnsi="Duru Sans"/>
          <w:color w:val="4E4C4C"/>
          <w:sz w:val="18"/>
          <w:szCs w:val="18"/>
        </w:rPr>
        <w:t>, Teilen und Haben, Berlin 2021, S. 54 ff.</w:t>
      </w:r>
    </w:p>
    <w:bookmarkStart w:id="3" w:name="_ftn5"/>
    <w:p w14:paraId="13A3F259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"_ftnref5"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"/>
      <w:r>
        <w:rPr>
          <w:rFonts w:ascii="Duru Sans" w:hAnsi="Duru Sans"/>
          <w:color w:val="4E4C4C"/>
          <w:sz w:val="18"/>
          <w:szCs w:val="18"/>
        </w:rPr>
        <w:t> Es gibt immer schon zwei ethische Orientierungsideen: eine Idee vom „guten Leben“ und eine Idee vom „gerechten Zusammenleben“ der Menschen (vgl.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Peter Ulrich</w:t>
      </w:r>
      <w:r>
        <w:rPr>
          <w:rFonts w:ascii="Duru Sans" w:hAnsi="Duru Sans"/>
          <w:color w:val="4E4C4C"/>
          <w:sz w:val="18"/>
          <w:szCs w:val="18"/>
        </w:rPr>
        <w:t>, Integrative Wirtschaftsethik, 5. Aufl., Bern 2016, S. 218.</w:t>
      </w:r>
    </w:p>
    <w:bookmarkStart w:id="4" w:name="_ftn6"/>
    <w:p w14:paraId="1394F9CE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"_ftnref6"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[5]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4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Ernst-Wolfgang Böckenförde</w:t>
      </w:r>
      <w:r>
        <w:rPr>
          <w:rFonts w:ascii="Duru Sans" w:hAnsi="Duru Sans"/>
          <w:color w:val="4E4C4C"/>
          <w:sz w:val="18"/>
          <w:szCs w:val="18"/>
        </w:rPr>
        <w:t>, Vom Ethos der Juristen, Berlin 2010, S. 19.</w:t>
      </w:r>
    </w:p>
    <w:bookmarkStart w:id="5" w:name="_ftn7"/>
    <w:p w14:paraId="55401386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"_ftnref7"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[6]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5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Ulrich K. Preuß</w:t>
      </w:r>
      <w:r>
        <w:rPr>
          <w:rFonts w:ascii="Duru Sans" w:hAnsi="Duru Sans"/>
          <w:color w:val="4E4C4C"/>
          <w:sz w:val="18"/>
          <w:szCs w:val="18"/>
        </w:rPr>
        <w:t>, Revolution, Fortschritt und Verfassung [1981</w:t>
      </w:r>
      <w:r>
        <w:rPr>
          <w:rFonts w:ascii="Duru Sans" w:hAnsi="Duru Sans"/>
          <w:color w:val="4E4C4C"/>
          <w:sz w:val="18"/>
          <w:szCs w:val="18"/>
          <w:vertAlign w:val="superscript"/>
        </w:rPr>
        <w:t>1</w:t>
      </w:r>
      <w:r>
        <w:rPr>
          <w:rFonts w:ascii="Duru Sans" w:hAnsi="Duru Sans"/>
          <w:color w:val="4E4C4C"/>
          <w:sz w:val="18"/>
          <w:szCs w:val="18"/>
        </w:rPr>
        <w:t>], Frankfurt a.M. 1994 (erweiterte Neuauflage), S. 23.</w:t>
      </w:r>
    </w:p>
    <w:bookmarkStart w:id="6" w:name="_ftn8"/>
    <w:p w14:paraId="1639E4A8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"_ftnref8"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[7]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6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Ernst-Wolfgang Böckenförde</w:t>
      </w:r>
      <w:r>
        <w:rPr>
          <w:rFonts w:ascii="Duru Sans" w:hAnsi="Duru Sans"/>
          <w:color w:val="4E4C4C"/>
          <w:sz w:val="18"/>
          <w:szCs w:val="18"/>
        </w:rPr>
        <w:t>, a.a.O., S. 20.</w:t>
      </w:r>
    </w:p>
    <w:bookmarkStart w:id="7" w:name="_ftn9"/>
    <w:p w14:paraId="4605C6DD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"_ftnref9"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[8]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7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Max Weber</w:t>
      </w:r>
      <w:r>
        <w:rPr>
          <w:rFonts w:ascii="Duru Sans" w:hAnsi="Duru Sans"/>
          <w:color w:val="4E4C4C"/>
          <w:sz w:val="18"/>
          <w:szCs w:val="18"/>
        </w:rPr>
        <w:t>, Wirtschaft und Gesellschaft [1921</w:t>
      </w:r>
      <w:r>
        <w:rPr>
          <w:rFonts w:ascii="Duru Sans" w:hAnsi="Duru Sans"/>
          <w:color w:val="4E4C4C"/>
          <w:sz w:val="18"/>
          <w:szCs w:val="18"/>
          <w:vertAlign w:val="superscript"/>
        </w:rPr>
        <w:t>1</w:t>
      </w:r>
      <w:r>
        <w:rPr>
          <w:rFonts w:ascii="Duru Sans" w:hAnsi="Duru Sans"/>
          <w:color w:val="4E4C4C"/>
          <w:sz w:val="18"/>
          <w:szCs w:val="18"/>
        </w:rPr>
        <w:t xml:space="preserve">], 5., </w:t>
      </w:r>
      <w:proofErr w:type="spellStart"/>
      <w:r>
        <w:rPr>
          <w:rFonts w:ascii="Duru Sans" w:hAnsi="Duru Sans"/>
          <w:color w:val="4E4C4C"/>
          <w:sz w:val="18"/>
          <w:szCs w:val="18"/>
        </w:rPr>
        <w:t>rev</w:t>
      </w:r>
      <w:proofErr w:type="spellEnd"/>
      <w:r>
        <w:rPr>
          <w:rFonts w:ascii="Duru Sans" w:hAnsi="Duru Sans"/>
          <w:color w:val="4E4C4C"/>
          <w:sz w:val="18"/>
          <w:szCs w:val="18"/>
        </w:rPr>
        <w:t>. Aufl., Tübingen 1980, S. 508.</w:t>
      </w:r>
    </w:p>
    <w:bookmarkStart w:id="8" w:name="_ftn10"/>
    <w:p w14:paraId="66AAF136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"_ftnref10"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[9]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8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Uwe Wesel</w:t>
      </w:r>
      <w:r>
        <w:rPr>
          <w:rFonts w:ascii="Duru Sans" w:hAnsi="Duru Sans"/>
          <w:color w:val="4E4C4C"/>
          <w:sz w:val="18"/>
          <w:szCs w:val="18"/>
        </w:rPr>
        <w:t xml:space="preserve">, Fast </w:t>
      </w:r>
      <w:proofErr w:type="gramStart"/>
      <w:r>
        <w:rPr>
          <w:rFonts w:ascii="Duru Sans" w:hAnsi="Duru Sans"/>
          <w:color w:val="4E4C4C"/>
          <w:sz w:val="18"/>
          <w:szCs w:val="18"/>
        </w:rPr>
        <w:t>alles</w:t>
      </w:r>
      <w:proofErr w:type="gramEnd"/>
      <w:r>
        <w:rPr>
          <w:rFonts w:ascii="Duru Sans" w:hAnsi="Duru Sans"/>
          <w:color w:val="4E4C4C"/>
          <w:sz w:val="18"/>
          <w:szCs w:val="18"/>
        </w:rPr>
        <w:t xml:space="preserve"> was Recht ist, Frankfurt a.M. 1992, S. 391.</w:t>
      </w:r>
    </w:p>
    <w:bookmarkStart w:id="9" w:name="_ftn11"/>
    <w:p w14:paraId="46F49828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"_ftnref11"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[10]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9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Robert Alexy</w:t>
      </w:r>
      <w:r>
        <w:rPr>
          <w:rFonts w:ascii="Duru Sans" w:hAnsi="Duru Sans"/>
          <w:color w:val="4E4C4C"/>
          <w:sz w:val="18"/>
          <w:szCs w:val="18"/>
        </w:rPr>
        <w:t>, Begriff und Geltung des Rechts [1992</w:t>
      </w:r>
      <w:r>
        <w:rPr>
          <w:rFonts w:ascii="Duru Sans" w:hAnsi="Duru Sans"/>
          <w:color w:val="4E4C4C"/>
          <w:sz w:val="18"/>
          <w:szCs w:val="18"/>
          <w:vertAlign w:val="superscript"/>
        </w:rPr>
        <w:t>1</w:t>
      </w:r>
      <w:r>
        <w:rPr>
          <w:rFonts w:ascii="Duru Sans" w:hAnsi="Duru Sans"/>
          <w:color w:val="4E4C4C"/>
          <w:sz w:val="18"/>
          <w:szCs w:val="18"/>
        </w:rPr>
        <w:t xml:space="preserve">], </w:t>
      </w:r>
      <w:proofErr w:type="spellStart"/>
      <w:r>
        <w:rPr>
          <w:rFonts w:ascii="Duru Sans" w:hAnsi="Duru Sans"/>
          <w:color w:val="4E4C4C"/>
          <w:sz w:val="18"/>
          <w:szCs w:val="18"/>
        </w:rPr>
        <w:t>erw</w:t>
      </w:r>
      <w:proofErr w:type="spellEnd"/>
      <w:r>
        <w:rPr>
          <w:rFonts w:ascii="Duru Sans" w:hAnsi="Duru Sans"/>
          <w:color w:val="4E4C4C"/>
          <w:sz w:val="18"/>
          <w:szCs w:val="18"/>
        </w:rPr>
        <w:t>. Neuausgabe, Freiburg/München 2000, S. 201.</w:t>
      </w:r>
    </w:p>
    <w:bookmarkStart w:id="10" w:name="_ftn12"/>
    <w:p w14:paraId="307E13D1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"_ftnref12"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[11]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0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Hans Kelsen</w:t>
      </w:r>
      <w:r>
        <w:rPr>
          <w:rFonts w:ascii="Duru Sans" w:hAnsi="Duru Sans"/>
          <w:color w:val="4E4C4C"/>
          <w:sz w:val="18"/>
          <w:szCs w:val="18"/>
        </w:rPr>
        <w:t>, Reine Rechtslehre [1960</w:t>
      </w:r>
      <w:r>
        <w:rPr>
          <w:rFonts w:ascii="Duru Sans" w:hAnsi="Duru Sans"/>
          <w:color w:val="4E4C4C"/>
          <w:sz w:val="18"/>
          <w:szCs w:val="18"/>
          <w:vertAlign w:val="superscript"/>
        </w:rPr>
        <w:t>2</w:t>
      </w:r>
      <w:r>
        <w:rPr>
          <w:rFonts w:ascii="Duru Sans" w:hAnsi="Duru Sans"/>
          <w:color w:val="4E4C4C"/>
          <w:sz w:val="18"/>
          <w:szCs w:val="18"/>
        </w:rPr>
        <w:t xml:space="preserve">], 5. </w:t>
      </w:r>
      <w:proofErr w:type="spellStart"/>
      <w:r>
        <w:rPr>
          <w:rFonts w:ascii="Duru Sans" w:hAnsi="Duru Sans"/>
          <w:color w:val="4E4C4C"/>
          <w:sz w:val="18"/>
          <w:szCs w:val="18"/>
        </w:rPr>
        <w:t>Neudr</w:t>
      </w:r>
      <w:proofErr w:type="spellEnd"/>
      <w:r>
        <w:rPr>
          <w:rFonts w:ascii="Duru Sans" w:hAnsi="Duru Sans"/>
          <w:color w:val="4E4C4C"/>
          <w:sz w:val="18"/>
          <w:szCs w:val="18"/>
        </w:rPr>
        <w:t>. d. 2. Aufl., Wien 2020, S. 69 f.</w:t>
      </w:r>
    </w:p>
    <w:bookmarkStart w:id="11" w:name="_ftn13"/>
    <w:p w14:paraId="6FCB183B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"_ftnref13"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[12]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1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Immanuel Kant</w:t>
      </w:r>
      <w:r>
        <w:rPr>
          <w:rFonts w:ascii="Duru Sans" w:hAnsi="Duru Sans"/>
          <w:color w:val="4E4C4C"/>
          <w:sz w:val="18"/>
          <w:szCs w:val="18"/>
        </w:rPr>
        <w:t>, Metaphysik der Sitten.</w:t>
      </w:r>
    </w:p>
    <w:bookmarkStart w:id="12" w:name="_ftn14"/>
    <w:p w14:paraId="5D6D916F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"_ftnref14"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[13]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2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Hans Kelsen</w:t>
      </w:r>
      <w:r>
        <w:rPr>
          <w:rFonts w:ascii="Duru Sans" w:hAnsi="Duru Sans"/>
          <w:color w:val="4E4C4C"/>
          <w:sz w:val="18"/>
          <w:szCs w:val="18"/>
        </w:rPr>
        <w:t>, a.a.O., S. 362.</w:t>
      </w:r>
    </w:p>
    <w:bookmarkStart w:id="13" w:name="_ftn15"/>
    <w:p w14:paraId="4F712EDB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"_ftnref15"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[14]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3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Peter Ulrich</w:t>
      </w:r>
      <w:r>
        <w:rPr>
          <w:rFonts w:ascii="Duru Sans" w:hAnsi="Duru Sans"/>
          <w:color w:val="4E4C4C"/>
          <w:sz w:val="18"/>
          <w:szCs w:val="18"/>
        </w:rPr>
        <w:t xml:space="preserve">, Der entzauberte Markt, Freiburg </w:t>
      </w:r>
      <w:proofErr w:type="spellStart"/>
      <w:r>
        <w:rPr>
          <w:rFonts w:ascii="Duru Sans" w:hAnsi="Duru Sans"/>
          <w:color w:val="4E4C4C"/>
          <w:sz w:val="18"/>
          <w:szCs w:val="18"/>
        </w:rPr>
        <w:t>i.B</w:t>
      </w:r>
      <w:proofErr w:type="spellEnd"/>
      <w:r>
        <w:rPr>
          <w:rFonts w:ascii="Duru Sans" w:hAnsi="Duru Sans"/>
          <w:color w:val="4E4C4C"/>
          <w:sz w:val="18"/>
          <w:szCs w:val="18"/>
        </w:rPr>
        <w:t>. 2002, S. 29.</w:t>
      </w:r>
    </w:p>
    <w:bookmarkStart w:id="14" w:name="_ftn16"/>
    <w:p w14:paraId="441F781A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"_ftnref16"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[15]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4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Uwe Wesel</w:t>
      </w:r>
      <w:r>
        <w:rPr>
          <w:rFonts w:ascii="Duru Sans" w:hAnsi="Duru Sans"/>
          <w:color w:val="4E4C4C"/>
          <w:sz w:val="18"/>
          <w:szCs w:val="18"/>
        </w:rPr>
        <w:t>, a.a.O., S. 403.</w:t>
      </w:r>
    </w:p>
    <w:p w14:paraId="064F508B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t>[16] </w:t>
      </w:r>
      <w:r>
        <w:rPr>
          <w:rFonts w:ascii="Duru Sans" w:hAnsi="Duru Sans"/>
          <w:i/>
          <w:iCs/>
          <w:color w:val="4E4C4C"/>
          <w:sz w:val="18"/>
          <w:szCs w:val="18"/>
        </w:rPr>
        <w:t>Uwe Wesel</w:t>
      </w:r>
      <w:r>
        <w:rPr>
          <w:rFonts w:ascii="Duru Sans" w:hAnsi="Duru Sans"/>
          <w:color w:val="4E4C4C"/>
          <w:sz w:val="18"/>
          <w:szCs w:val="18"/>
        </w:rPr>
        <w:t>, Juristische Weltkunde, Frankfurt a.M. 1993, S. 73.</w:t>
      </w:r>
    </w:p>
    <w:bookmarkStart w:id="15" w:name="_ftn17"/>
    <w:p w14:paraId="2BD1A8D5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"_ftnref17"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[17]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5"/>
      <w:r>
        <w:rPr>
          <w:rFonts w:ascii="Duru Sans" w:hAnsi="Duru Sans"/>
          <w:color w:val="4E4C4C"/>
          <w:sz w:val="18"/>
          <w:szCs w:val="18"/>
        </w:rPr>
        <w:t> Die Teilnehmerperspektive nimmt ein, wer in einem Rechtssystem an einer Argumentation darüber teilnimmt, was in diesem Rechtssystem geboten, verboten und erlaubt ist (vgl.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Robert Alexy</w:t>
      </w:r>
      <w:r>
        <w:rPr>
          <w:rFonts w:ascii="Duru Sans" w:hAnsi="Duru Sans"/>
          <w:color w:val="4E4C4C"/>
          <w:sz w:val="18"/>
          <w:szCs w:val="18"/>
        </w:rPr>
        <w:t>, a.a.O., S. 47).</w:t>
      </w:r>
    </w:p>
    <w:bookmarkStart w:id="16" w:name="_ftn18"/>
    <w:p w14:paraId="2546C008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"_ftnref18"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[18]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6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Gustav Radbruch</w:t>
      </w:r>
      <w:r>
        <w:rPr>
          <w:rFonts w:ascii="Duru Sans" w:hAnsi="Duru Sans"/>
          <w:color w:val="4E4C4C"/>
          <w:sz w:val="18"/>
          <w:szCs w:val="18"/>
        </w:rPr>
        <w:t>, Rechtsphilosophie, 8. Aufl., Stuttgart 1973, S. 345 (einem Aufsatz von 1946 entnommen).</w:t>
      </w:r>
    </w:p>
    <w:bookmarkStart w:id="17" w:name="_ftn19"/>
    <w:p w14:paraId="2641C5C7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"_ftnref19"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[19]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7"/>
      <w:r>
        <w:rPr>
          <w:rFonts w:ascii="Duru Sans" w:hAnsi="Duru Sans"/>
          <w:color w:val="4E4C4C"/>
          <w:sz w:val="18"/>
          <w:szCs w:val="18"/>
        </w:rPr>
        <w:t xml:space="preserve"> BVerfG, Beschluss vom 14. Februar 1968 – 2 BvR 557/62 –, </w:t>
      </w:r>
      <w:proofErr w:type="spellStart"/>
      <w:r>
        <w:rPr>
          <w:rFonts w:ascii="Duru Sans" w:hAnsi="Duru Sans"/>
          <w:color w:val="4E4C4C"/>
          <w:sz w:val="18"/>
          <w:szCs w:val="18"/>
        </w:rPr>
        <w:t>juris</w:t>
      </w:r>
      <w:proofErr w:type="spellEnd"/>
      <w:r>
        <w:rPr>
          <w:rFonts w:ascii="Duru Sans" w:hAnsi="Duru Sans"/>
          <w:color w:val="4E4C4C"/>
          <w:sz w:val="18"/>
          <w:szCs w:val="18"/>
        </w:rPr>
        <w:t xml:space="preserve"> </w:t>
      </w:r>
      <w:proofErr w:type="spellStart"/>
      <w:r>
        <w:rPr>
          <w:rFonts w:ascii="Duru Sans" w:hAnsi="Duru Sans"/>
          <w:color w:val="4E4C4C"/>
          <w:sz w:val="18"/>
          <w:szCs w:val="18"/>
        </w:rPr>
        <w:t>Rn</w:t>
      </w:r>
      <w:proofErr w:type="spellEnd"/>
      <w:r>
        <w:rPr>
          <w:rFonts w:ascii="Duru Sans" w:hAnsi="Duru Sans"/>
          <w:color w:val="4E4C4C"/>
          <w:sz w:val="18"/>
          <w:szCs w:val="18"/>
        </w:rPr>
        <w:t>. 30, 32.</w:t>
      </w:r>
    </w:p>
    <w:bookmarkStart w:id="18" w:name="_ftn20"/>
    <w:p w14:paraId="444D3916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"_ftnref20"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[20]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8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Gustav Radbruch</w:t>
      </w:r>
      <w:r>
        <w:rPr>
          <w:rFonts w:ascii="Duru Sans" w:hAnsi="Duru Sans"/>
          <w:color w:val="4E4C4C"/>
          <w:sz w:val="18"/>
          <w:szCs w:val="18"/>
        </w:rPr>
        <w:t>, a.a.O., S. 328;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Robert Alexy</w:t>
      </w:r>
      <w:r>
        <w:rPr>
          <w:rFonts w:ascii="Duru Sans" w:hAnsi="Duru Sans"/>
          <w:color w:val="4E4C4C"/>
          <w:sz w:val="18"/>
          <w:szCs w:val="18"/>
        </w:rPr>
        <w:t>, a.a.O., S. 94.</w:t>
      </w:r>
    </w:p>
    <w:bookmarkStart w:id="19" w:name="_ftn21"/>
    <w:p w14:paraId="6193DA01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"_ftnref21"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[21]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19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Matthias Mahlmann</w:t>
      </w:r>
      <w:r>
        <w:rPr>
          <w:rFonts w:ascii="Duru Sans" w:hAnsi="Duru Sans"/>
          <w:color w:val="4E4C4C"/>
          <w:sz w:val="18"/>
          <w:szCs w:val="18"/>
        </w:rPr>
        <w:t>, a.a.O., S. 261.</w:t>
      </w:r>
    </w:p>
    <w:bookmarkStart w:id="20" w:name="_ftn22"/>
    <w:p w14:paraId="001F507A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"_ftnref22"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[22]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0"/>
      <w:r>
        <w:rPr>
          <w:rFonts w:ascii="Duru Sans" w:hAnsi="Duru Sans"/>
          <w:color w:val="4E4C4C"/>
          <w:sz w:val="18"/>
          <w:szCs w:val="18"/>
        </w:rPr>
        <w:t> „Konkrete Gerechtigkeit“ ist der Titel eines Studienbuchs von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Matthias Mahlmann</w:t>
      </w:r>
      <w:r>
        <w:rPr>
          <w:rFonts w:ascii="Duru Sans" w:hAnsi="Duru Sans"/>
          <w:color w:val="4E4C4C"/>
          <w:sz w:val="18"/>
          <w:szCs w:val="18"/>
        </w:rPr>
        <w:t xml:space="preserve"> (s. </w:t>
      </w:r>
      <w:proofErr w:type="spellStart"/>
      <w:r>
        <w:rPr>
          <w:rFonts w:ascii="Duru Sans" w:hAnsi="Duru Sans"/>
          <w:color w:val="4E4C4C"/>
          <w:sz w:val="18"/>
          <w:szCs w:val="18"/>
        </w:rPr>
        <w:t>Fn</w:t>
      </w:r>
      <w:proofErr w:type="spellEnd"/>
      <w:r>
        <w:rPr>
          <w:rFonts w:ascii="Duru Sans" w:hAnsi="Duru Sans"/>
          <w:color w:val="4E4C4C"/>
          <w:sz w:val="18"/>
          <w:szCs w:val="18"/>
        </w:rPr>
        <w:t>. 1). Es gibt m.E. keinen treffenderen Begriff, um die spezifische Form von Gerechtigkeit zu bezeichnen, die Juristen herzustellen im Stande sind.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Mahlmann</w:t>
      </w:r>
      <w:r>
        <w:rPr>
          <w:rFonts w:ascii="Duru Sans" w:hAnsi="Duru Sans"/>
          <w:color w:val="4E4C4C"/>
          <w:sz w:val="18"/>
          <w:szCs w:val="18"/>
        </w:rPr>
        <w:t> verwendet das Attribut „konkret“ im Zusammenhang mit dem Gerechtigkeitsbegriff als Einziger, begründet es – so ich nichts überlesen habe – allerdings nicht.</w:t>
      </w:r>
    </w:p>
    <w:bookmarkStart w:id="21" w:name="_ftn23"/>
    <w:p w14:paraId="4C5F1250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"_ftnref23"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[23]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1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Hans Kelsen</w:t>
      </w:r>
      <w:r>
        <w:rPr>
          <w:rFonts w:ascii="Duru Sans" w:hAnsi="Duru Sans"/>
          <w:color w:val="4E4C4C"/>
          <w:sz w:val="18"/>
          <w:szCs w:val="18"/>
        </w:rPr>
        <w:t>, Was ist Gerechtigkeit? [1953], Stuttgart 2016, S. 29 ff.</w:t>
      </w:r>
    </w:p>
    <w:bookmarkStart w:id="22" w:name="_ftn24"/>
    <w:p w14:paraId="764E7787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"_ftnref24"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[24]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2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Niklas Luhmann</w:t>
      </w:r>
      <w:r>
        <w:rPr>
          <w:rFonts w:ascii="Duru Sans" w:hAnsi="Duru Sans"/>
          <w:color w:val="4E4C4C"/>
          <w:sz w:val="18"/>
          <w:szCs w:val="18"/>
        </w:rPr>
        <w:t>, Das Recht der Gesellschaft, Frankfurt a.M. 1993, S. 214 ff.</w:t>
      </w:r>
    </w:p>
    <w:bookmarkStart w:id="23" w:name="_ftn25"/>
    <w:p w14:paraId="3B4C76EC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"_ftnref25"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[25]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3"/>
      <w:r>
        <w:rPr>
          <w:rFonts w:ascii="Duru Sans" w:hAnsi="Duru Sans"/>
          <w:color w:val="4E4C4C"/>
          <w:sz w:val="18"/>
          <w:szCs w:val="18"/>
        </w:rPr>
        <w:t> Digesten, 1. Buch, 1. Titel, 1. Fragment.</w:t>
      </w:r>
    </w:p>
    <w:bookmarkStart w:id="24" w:name="_ftn26"/>
    <w:p w14:paraId="7F7AFF64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"_ftnref26"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[26]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4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Christoph Menke</w:t>
      </w:r>
      <w:r>
        <w:rPr>
          <w:rFonts w:ascii="Duru Sans" w:hAnsi="Duru Sans"/>
          <w:color w:val="4E4C4C"/>
          <w:sz w:val="18"/>
          <w:szCs w:val="18"/>
        </w:rPr>
        <w:t>, Kritik der Rechte, Berlin 2015, S. 195.</w:t>
      </w:r>
    </w:p>
    <w:bookmarkStart w:id="25" w:name="_ftn27"/>
    <w:p w14:paraId="2CA4A05B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"_ftnref27"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[27]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5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Thomas Hobbes</w:t>
      </w:r>
      <w:r>
        <w:rPr>
          <w:rFonts w:ascii="Duru Sans" w:hAnsi="Duru Sans"/>
          <w:color w:val="4E4C4C"/>
          <w:sz w:val="18"/>
          <w:szCs w:val="18"/>
        </w:rPr>
        <w:t>, Leviathan [1651], Frankfurt a.M. 1984, S. 99.</w:t>
      </w:r>
    </w:p>
    <w:bookmarkStart w:id="26" w:name="_ftn28"/>
    <w:p w14:paraId="42A894CE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"_ftnref28"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[28]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6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Christoph Menke</w:t>
      </w:r>
      <w:r>
        <w:rPr>
          <w:rFonts w:ascii="Duru Sans" w:hAnsi="Duru Sans"/>
          <w:color w:val="4E4C4C"/>
          <w:sz w:val="18"/>
          <w:szCs w:val="18"/>
        </w:rPr>
        <w:t>, a.a.O., S. 236.</w:t>
      </w:r>
    </w:p>
    <w:bookmarkStart w:id="27" w:name="_ftn29"/>
    <w:p w14:paraId="58618331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"_ftnref29"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[29]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7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Max Weber</w:t>
      </w:r>
      <w:r>
        <w:rPr>
          <w:rFonts w:ascii="Duru Sans" w:hAnsi="Duru Sans"/>
          <w:color w:val="4E4C4C"/>
          <w:sz w:val="18"/>
          <w:szCs w:val="18"/>
        </w:rPr>
        <w:t>, Wirtschaft und Gesellschaft, a.a.O., S. 398.</w:t>
      </w:r>
    </w:p>
    <w:bookmarkStart w:id="28" w:name="_ftn30"/>
    <w:p w14:paraId="2FF2DF45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"_ftnref30"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[30]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8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Matthias Mahlmann</w:t>
      </w:r>
      <w:r>
        <w:rPr>
          <w:rFonts w:ascii="Duru Sans" w:hAnsi="Duru Sans"/>
          <w:color w:val="4E4C4C"/>
          <w:sz w:val="18"/>
          <w:szCs w:val="18"/>
        </w:rPr>
        <w:t>, a.a.O., S. 219.</w:t>
      </w:r>
    </w:p>
    <w:bookmarkStart w:id="29" w:name="_ftn31"/>
    <w:p w14:paraId="136C2632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"_ftnref31"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[31]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29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Thomas Zimmer</w:t>
      </w:r>
      <w:r>
        <w:rPr>
          <w:rFonts w:ascii="Duru Sans" w:hAnsi="Duru Sans"/>
          <w:color w:val="4E4C4C"/>
          <w:sz w:val="18"/>
          <w:szCs w:val="18"/>
        </w:rPr>
        <w:t xml:space="preserve">, </w:t>
      </w:r>
      <w:proofErr w:type="spellStart"/>
      <w:r>
        <w:rPr>
          <w:rFonts w:ascii="Duru Sans" w:hAnsi="Duru Sans"/>
          <w:color w:val="4E4C4C"/>
          <w:sz w:val="18"/>
          <w:szCs w:val="18"/>
        </w:rPr>
        <w:t>Ending</w:t>
      </w:r>
      <w:proofErr w:type="spellEnd"/>
      <w:r>
        <w:rPr>
          <w:rFonts w:ascii="Duru Sans" w:hAnsi="Duru Sans"/>
          <w:color w:val="4E4C4C"/>
          <w:sz w:val="18"/>
          <w:szCs w:val="18"/>
        </w:rPr>
        <w:t xml:space="preserve"> Roe v Wade </w:t>
      </w:r>
      <w:proofErr w:type="spellStart"/>
      <w:r>
        <w:rPr>
          <w:rFonts w:ascii="Duru Sans" w:hAnsi="Duru Sans"/>
          <w:color w:val="4E4C4C"/>
          <w:sz w:val="18"/>
          <w:szCs w:val="18"/>
        </w:rPr>
        <w:t>is</w:t>
      </w:r>
      <w:proofErr w:type="spellEnd"/>
      <w:r>
        <w:rPr>
          <w:rFonts w:ascii="Duru Sans" w:hAnsi="Duru Sans"/>
          <w:color w:val="4E4C4C"/>
          <w:sz w:val="18"/>
          <w:szCs w:val="18"/>
        </w:rPr>
        <w:t xml:space="preserve"> just </w:t>
      </w:r>
      <w:proofErr w:type="spellStart"/>
      <w:r>
        <w:rPr>
          <w:rFonts w:ascii="Duru Sans" w:hAnsi="Duru Sans"/>
          <w:color w:val="4E4C4C"/>
          <w:sz w:val="18"/>
          <w:szCs w:val="18"/>
        </w:rPr>
        <w:t>the</w:t>
      </w:r>
      <w:proofErr w:type="spellEnd"/>
      <w:r>
        <w:rPr>
          <w:rFonts w:ascii="Duru Sans" w:hAnsi="Duru Sans"/>
          <w:color w:val="4E4C4C"/>
          <w:sz w:val="18"/>
          <w:szCs w:val="18"/>
        </w:rPr>
        <w:t xml:space="preserve"> </w:t>
      </w:r>
      <w:proofErr w:type="spellStart"/>
      <w:r>
        <w:rPr>
          <w:rFonts w:ascii="Duru Sans" w:hAnsi="Duru Sans"/>
          <w:color w:val="4E4C4C"/>
          <w:sz w:val="18"/>
          <w:szCs w:val="18"/>
        </w:rPr>
        <w:t>beginning</w:t>
      </w:r>
      <w:proofErr w:type="spellEnd"/>
      <w:r>
        <w:rPr>
          <w:rFonts w:ascii="Duru Sans" w:hAnsi="Duru Sans"/>
          <w:color w:val="4E4C4C"/>
          <w:sz w:val="18"/>
          <w:szCs w:val="18"/>
        </w:rPr>
        <w:t>, The Guardian vom 19.05.2022 (abrufbar unter: </w:t>
      </w:r>
      <w:hyperlink r:id="rId4" w:history="1">
        <w:r>
          <w:rPr>
            <w:rStyle w:val="Hyperlink"/>
            <w:rFonts w:ascii="Duru Sans" w:hAnsi="Duru Sans"/>
            <w:color w:val="D40B27"/>
            <w:sz w:val="18"/>
            <w:szCs w:val="18"/>
          </w:rPr>
          <w:t>https://www.theguardian.com/commentisfree/2022/may/19/ending-roe-v-wade-beginning-conservatives-civil-rights-democracy</w:t>
        </w:r>
      </w:hyperlink>
      <w:r>
        <w:rPr>
          <w:rFonts w:ascii="Duru Sans" w:hAnsi="Duru Sans"/>
          <w:color w:val="4E4C4C"/>
          <w:sz w:val="18"/>
          <w:szCs w:val="18"/>
        </w:rPr>
        <w:t>)</w:t>
      </w:r>
    </w:p>
    <w:bookmarkStart w:id="30" w:name="_ftn32"/>
    <w:p w14:paraId="3702149F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"_ftnref32"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[32]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0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Johann Braun</w:t>
      </w:r>
      <w:r>
        <w:rPr>
          <w:rFonts w:ascii="Duru Sans" w:hAnsi="Duru Sans"/>
          <w:color w:val="4E4C4C"/>
          <w:sz w:val="18"/>
          <w:szCs w:val="18"/>
        </w:rPr>
        <w:t>, Einführung in die Rechtsphilosophie, 2. Aufl., Tübingen 2011, S. 27.</w:t>
      </w:r>
    </w:p>
    <w:bookmarkStart w:id="31" w:name="_ftn33"/>
    <w:p w14:paraId="65DDE409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"_ftnref33"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[33]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1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Jürgen Habermas</w:t>
      </w:r>
      <w:r>
        <w:rPr>
          <w:rFonts w:ascii="Duru Sans" w:hAnsi="Duru Sans"/>
          <w:color w:val="4E4C4C"/>
          <w:sz w:val="18"/>
          <w:szCs w:val="18"/>
        </w:rPr>
        <w:t>, Faktizität und Geltung [1992</w:t>
      </w:r>
      <w:r>
        <w:rPr>
          <w:rFonts w:ascii="Duru Sans" w:hAnsi="Duru Sans"/>
          <w:color w:val="4E4C4C"/>
          <w:sz w:val="18"/>
          <w:szCs w:val="18"/>
          <w:vertAlign w:val="superscript"/>
        </w:rPr>
        <w:t>1</w:t>
      </w:r>
      <w:r>
        <w:rPr>
          <w:rFonts w:ascii="Duru Sans" w:hAnsi="Duru Sans"/>
          <w:color w:val="4E4C4C"/>
          <w:sz w:val="18"/>
          <w:szCs w:val="18"/>
        </w:rPr>
        <w:t>], 5. Aufl., Frankfurt a.M. 1997, S. 132, der in dieser Idee sowohl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Kants</w:t>
      </w:r>
      <w:r>
        <w:rPr>
          <w:rFonts w:ascii="Duru Sans" w:hAnsi="Duru Sans"/>
          <w:color w:val="4E4C4C"/>
          <w:sz w:val="18"/>
          <w:szCs w:val="18"/>
        </w:rPr>
        <w:t> ursprüngliches Menschenrecht als auch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Rousseaus</w:t>
      </w:r>
      <w:r>
        <w:rPr>
          <w:rFonts w:ascii="Duru Sans" w:hAnsi="Duru Sans"/>
          <w:color w:val="4E4C4C"/>
          <w:sz w:val="18"/>
          <w:szCs w:val="18"/>
        </w:rPr>
        <w:t> Volkssouveränität gewährleistet sieht.</w:t>
      </w:r>
    </w:p>
    <w:bookmarkStart w:id="32" w:name="_ftn34"/>
    <w:p w14:paraId="0C822A07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lastRenderedPageBreak/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"_ftnref34"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[34]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2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 xml:space="preserve">Franz </w:t>
      </w:r>
      <w:proofErr w:type="spellStart"/>
      <w:r>
        <w:rPr>
          <w:rStyle w:val="Hervorhebung"/>
          <w:rFonts w:ascii="Duru Sans" w:hAnsi="Duru Sans"/>
          <w:color w:val="4E4C4C"/>
          <w:sz w:val="18"/>
          <w:szCs w:val="18"/>
        </w:rPr>
        <w:t>Wieacker</w:t>
      </w:r>
      <w:proofErr w:type="spellEnd"/>
      <w:r>
        <w:rPr>
          <w:rFonts w:ascii="Duru Sans" w:hAnsi="Duru Sans"/>
          <w:color w:val="4E4C4C"/>
          <w:sz w:val="18"/>
          <w:szCs w:val="18"/>
        </w:rPr>
        <w:t>, Das Sozialmodell der klassischen Privatrechtsgesetzbücher und die Entwicklung der modernen Gesellschaft, Karlsruhe 1953, S. 10.</w:t>
      </w:r>
    </w:p>
    <w:bookmarkStart w:id="33" w:name="_ftn35"/>
    <w:p w14:paraId="78931293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"_ftnref35"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[35]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3"/>
      <w:r>
        <w:rPr>
          <w:rFonts w:ascii="Duru Sans" w:hAnsi="Duru Sans"/>
          <w:color w:val="4E4C4C"/>
          <w:sz w:val="18"/>
          <w:szCs w:val="18"/>
        </w:rPr>
        <w:t xml:space="preserve"> BVerfG, Urteil vom 16. Januar 1957 – 1 BvR 253/56, </w:t>
      </w:r>
      <w:proofErr w:type="spellStart"/>
      <w:r>
        <w:rPr>
          <w:rFonts w:ascii="Duru Sans" w:hAnsi="Duru Sans"/>
          <w:color w:val="4E4C4C"/>
          <w:sz w:val="18"/>
          <w:szCs w:val="18"/>
        </w:rPr>
        <w:t>juris</w:t>
      </w:r>
      <w:proofErr w:type="spellEnd"/>
      <w:r>
        <w:rPr>
          <w:rFonts w:ascii="Duru Sans" w:hAnsi="Duru Sans"/>
          <w:color w:val="4E4C4C"/>
          <w:sz w:val="18"/>
          <w:szCs w:val="18"/>
        </w:rPr>
        <w:t xml:space="preserve"> </w:t>
      </w:r>
      <w:proofErr w:type="spellStart"/>
      <w:r>
        <w:rPr>
          <w:rFonts w:ascii="Duru Sans" w:hAnsi="Duru Sans"/>
          <w:color w:val="4E4C4C"/>
          <w:sz w:val="18"/>
          <w:szCs w:val="18"/>
        </w:rPr>
        <w:t>Rn</w:t>
      </w:r>
      <w:proofErr w:type="spellEnd"/>
      <w:r>
        <w:rPr>
          <w:rFonts w:ascii="Duru Sans" w:hAnsi="Duru Sans"/>
          <w:color w:val="4E4C4C"/>
          <w:sz w:val="18"/>
          <w:szCs w:val="18"/>
        </w:rPr>
        <w:t>. 33 f.</w:t>
      </w:r>
    </w:p>
    <w:bookmarkStart w:id="34" w:name="_ftn36"/>
    <w:p w14:paraId="3D3C8EE8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"_ftnref36"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[36]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4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Christoph Möllers</w:t>
      </w:r>
      <w:r>
        <w:rPr>
          <w:rFonts w:ascii="Duru Sans" w:hAnsi="Duru Sans"/>
          <w:color w:val="4E4C4C"/>
          <w:sz w:val="18"/>
          <w:szCs w:val="18"/>
        </w:rPr>
        <w:t>, Das Grundgesetz [2009</w:t>
      </w:r>
      <w:r>
        <w:rPr>
          <w:rFonts w:ascii="Duru Sans" w:hAnsi="Duru Sans"/>
          <w:color w:val="4E4C4C"/>
          <w:sz w:val="18"/>
          <w:szCs w:val="18"/>
          <w:vertAlign w:val="superscript"/>
        </w:rPr>
        <w:t>1</w:t>
      </w:r>
      <w:r>
        <w:rPr>
          <w:rFonts w:ascii="Duru Sans" w:hAnsi="Duru Sans"/>
          <w:color w:val="4E4C4C"/>
          <w:sz w:val="18"/>
          <w:szCs w:val="18"/>
        </w:rPr>
        <w:t>], 4. Aufl., München 2019, S. 74.</w:t>
      </w:r>
    </w:p>
    <w:bookmarkStart w:id="35" w:name="_ftn37"/>
    <w:p w14:paraId="57433DB6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"_ftnref37"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[37]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5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Dieter Grimm</w:t>
      </w:r>
      <w:r>
        <w:rPr>
          <w:rFonts w:ascii="Duru Sans" w:hAnsi="Duru Sans"/>
          <w:color w:val="4E4C4C"/>
          <w:sz w:val="18"/>
          <w:szCs w:val="18"/>
        </w:rPr>
        <w:t>, Recht und Staat der bürgerlichen Gesellschaft, Frankfurt a.M. 1987, S. 194, 29.</w:t>
      </w:r>
    </w:p>
    <w:bookmarkStart w:id="36" w:name="_ftn38"/>
    <w:p w14:paraId="49A34A61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"_ftnref38"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[38]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6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Katharina Pistor</w:t>
      </w:r>
      <w:r>
        <w:rPr>
          <w:rFonts w:ascii="Duru Sans" w:hAnsi="Duru Sans"/>
          <w:color w:val="4E4C4C"/>
          <w:sz w:val="18"/>
          <w:szCs w:val="18"/>
        </w:rPr>
        <w:t>, Der Code des Kapitals, Berlin 2020, S. 347.</w:t>
      </w:r>
    </w:p>
    <w:bookmarkStart w:id="37" w:name="_ftn39"/>
    <w:p w14:paraId="18694E39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"_ftnref39"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[39]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7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Holger Altmeppen</w:t>
      </w:r>
      <w:r>
        <w:rPr>
          <w:rFonts w:ascii="Duru Sans" w:hAnsi="Duru Sans"/>
          <w:color w:val="4E4C4C"/>
          <w:sz w:val="18"/>
          <w:szCs w:val="18"/>
        </w:rPr>
        <w:t xml:space="preserve">, Der GmbH-Geschäftsführer als unabhängiger Treuhänder der Allgemeinheit, NJW 2022, 2785, 2787 </w:t>
      </w:r>
      <w:proofErr w:type="spellStart"/>
      <w:r>
        <w:rPr>
          <w:rFonts w:ascii="Duru Sans" w:hAnsi="Duru Sans"/>
          <w:color w:val="4E4C4C"/>
          <w:sz w:val="18"/>
          <w:szCs w:val="18"/>
        </w:rPr>
        <w:t>Rn</w:t>
      </w:r>
      <w:proofErr w:type="spellEnd"/>
      <w:r>
        <w:rPr>
          <w:rFonts w:ascii="Duru Sans" w:hAnsi="Duru Sans"/>
          <w:color w:val="4E4C4C"/>
          <w:sz w:val="18"/>
          <w:szCs w:val="18"/>
        </w:rPr>
        <w:t>. 12.</w:t>
      </w:r>
    </w:p>
    <w:bookmarkStart w:id="38" w:name="_ftn40"/>
    <w:p w14:paraId="1AEA922A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"_ftnref40"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[40]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8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Egon Flaig</w:t>
      </w:r>
      <w:r>
        <w:rPr>
          <w:rFonts w:ascii="Duru Sans" w:hAnsi="Duru Sans"/>
          <w:color w:val="4E4C4C"/>
          <w:sz w:val="18"/>
          <w:szCs w:val="18"/>
        </w:rPr>
        <w:t>, Die Niederlage der politischen Vernunft, Springe 2017, S. 202.</w:t>
      </w:r>
    </w:p>
    <w:bookmarkStart w:id="39" w:name="_ftn41"/>
    <w:p w14:paraId="33F6043D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"_ftnref41"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[41]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39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Max Weber</w:t>
      </w:r>
      <w:r>
        <w:rPr>
          <w:rFonts w:ascii="Duru Sans" w:hAnsi="Duru Sans"/>
          <w:color w:val="4E4C4C"/>
          <w:sz w:val="18"/>
          <w:szCs w:val="18"/>
        </w:rPr>
        <w:t>, a.a.O., S. 196.</w:t>
      </w:r>
    </w:p>
    <w:bookmarkStart w:id="40" w:name="_ftn42"/>
    <w:p w14:paraId="000D6DBC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"_ftnref42"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[42]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40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Mathias Mahlmann</w:t>
      </w:r>
      <w:r>
        <w:rPr>
          <w:rFonts w:ascii="Duru Sans" w:hAnsi="Duru Sans"/>
          <w:color w:val="4E4C4C"/>
          <w:sz w:val="18"/>
          <w:szCs w:val="18"/>
        </w:rPr>
        <w:t>, a.a.O., S. 220.</w:t>
      </w:r>
    </w:p>
    <w:bookmarkStart w:id="41" w:name="_ftn43"/>
    <w:p w14:paraId="1E37630C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"_ftnref43"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[43]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41"/>
      <w:r>
        <w:rPr>
          <w:rFonts w:ascii="Duru Sans" w:hAnsi="Duru Sans"/>
          <w:color w:val="4E4C4C"/>
          <w:sz w:val="18"/>
          <w:szCs w:val="18"/>
        </w:rPr>
        <w:t> Vgl. z.B.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Max Weber</w:t>
      </w:r>
      <w:r>
        <w:rPr>
          <w:rFonts w:ascii="Duru Sans" w:hAnsi="Duru Sans"/>
          <w:color w:val="4E4C4C"/>
          <w:sz w:val="18"/>
          <w:szCs w:val="18"/>
        </w:rPr>
        <w:t>, a.a.O., S. 567 ff.</w:t>
      </w:r>
    </w:p>
    <w:bookmarkStart w:id="42" w:name="_ftn44"/>
    <w:p w14:paraId="4DDF7B1B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"_ftnref44"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[44]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42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 xml:space="preserve">Felix </w:t>
      </w:r>
      <w:proofErr w:type="spellStart"/>
      <w:r>
        <w:rPr>
          <w:rStyle w:val="Hervorhebung"/>
          <w:rFonts w:ascii="Duru Sans" w:hAnsi="Duru Sans"/>
          <w:color w:val="4E4C4C"/>
          <w:sz w:val="18"/>
          <w:szCs w:val="18"/>
        </w:rPr>
        <w:t>Ekardt</w:t>
      </w:r>
      <w:proofErr w:type="spellEnd"/>
      <w:r>
        <w:rPr>
          <w:rFonts w:ascii="Duru Sans" w:hAnsi="Duru Sans"/>
          <w:color w:val="4E4C4C"/>
          <w:sz w:val="18"/>
          <w:szCs w:val="18"/>
        </w:rPr>
        <w:t>, Kurzschluss, Berlin 2017, S.136.</w:t>
      </w:r>
    </w:p>
    <w:bookmarkStart w:id="43" w:name="_ftn45"/>
    <w:p w14:paraId="1182A7AF" w14:textId="77777777" w:rsidR="00D15346" w:rsidRDefault="00D15346" w:rsidP="00D15346">
      <w:pPr>
        <w:pStyle w:val="StandardWeb"/>
        <w:spacing w:before="134" w:beforeAutospacing="0" w:after="134" w:afterAutospacing="0"/>
        <w:rPr>
          <w:rFonts w:ascii="Duru Sans" w:hAnsi="Duru Sans"/>
          <w:color w:val="4E4C4C"/>
          <w:sz w:val="18"/>
          <w:szCs w:val="18"/>
        </w:rPr>
      </w:pPr>
      <w:r>
        <w:rPr>
          <w:rFonts w:ascii="Duru Sans" w:hAnsi="Duru Sans"/>
          <w:color w:val="4E4C4C"/>
          <w:sz w:val="18"/>
          <w:szCs w:val="18"/>
        </w:rPr>
        <w:fldChar w:fldCharType="begin"/>
      </w:r>
      <w:r>
        <w:rPr>
          <w:rFonts w:ascii="Duru Sans" w:hAnsi="Duru Sans"/>
          <w:color w:val="4E4C4C"/>
          <w:sz w:val="18"/>
          <w:szCs w:val="18"/>
        </w:rPr>
        <w:instrText xml:space="preserve"> HYPERLINK "file:///C:\\Users\\L.Voges-Wallhoefer\\Documents\\privat\\Vom%20Ethos%20der%20Juristen.docx" \l "_ftnref45" \o "" </w:instrText>
      </w:r>
      <w:r>
        <w:rPr>
          <w:rFonts w:ascii="Duru Sans" w:hAnsi="Duru Sans"/>
          <w:color w:val="4E4C4C"/>
          <w:sz w:val="18"/>
          <w:szCs w:val="18"/>
        </w:rPr>
        <w:fldChar w:fldCharType="separate"/>
      </w:r>
      <w:r>
        <w:rPr>
          <w:rStyle w:val="Hyperlink"/>
          <w:rFonts w:ascii="Duru Sans" w:hAnsi="Duru Sans"/>
          <w:color w:val="D40B27"/>
          <w:sz w:val="18"/>
          <w:szCs w:val="18"/>
        </w:rPr>
        <w:t>[45]</w:t>
      </w:r>
      <w:r>
        <w:rPr>
          <w:rFonts w:ascii="Duru Sans" w:hAnsi="Duru Sans"/>
          <w:color w:val="4E4C4C"/>
          <w:sz w:val="18"/>
          <w:szCs w:val="18"/>
        </w:rPr>
        <w:fldChar w:fldCharType="end"/>
      </w:r>
      <w:bookmarkEnd w:id="43"/>
      <w:r>
        <w:rPr>
          <w:rFonts w:ascii="Duru Sans" w:hAnsi="Duru Sans"/>
          <w:color w:val="4E4C4C"/>
          <w:sz w:val="18"/>
          <w:szCs w:val="18"/>
        </w:rPr>
        <w:t> </w:t>
      </w:r>
      <w:r>
        <w:rPr>
          <w:rStyle w:val="Hervorhebung"/>
          <w:rFonts w:ascii="Duru Sans" w:hAnsi="Duru Sans"/>
          <w:color w:val="4E4C4C"/>
          <w:sz w:val="18"/>
          <w:szCs w:val="18"/>
        </w:rPr>
        <w:t>Thomas Biebricher/Ralf Ptak</w:t>
      </w:r>
      <w:r>
        <w:rPr>
          <w:rFonts w:ascii="Duru Sans" w:hAnsi="Duru Sans"/>
          <w:color w:val="4E4C4C"/>
          <w:sz w:val="18"/>
          <w:szCs w:val="18"/>
        </w:rPr>
        <w:t>, Soziale Marktwirtschaft und Ordoliberalismus zur Einführung, 2020, S. 128 f.</w:t>
      </w:r>
    </w:p>
    <w:p w14:paraId="5E59EC24" w14:textId="77777777" w:rsidR="00D15346" w:rsidRDefault="00D15346"/>
    <w:sectPr w:rsidR="00D153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ru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46"/>
    <w:rsid w:val="00D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ADAB"/>
  <w15:chartTrackingRefBased/>
  <w15:docId w15:val="{FBC92A9B-505E-4A2D-8B38-F106DA64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1534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15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commentisfree/2022/may/19/ending-roe-v-wade-beginning-conservatives-civil-rights-democrac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Voges</dc:creator>
  <cp:keywords/>
  <dc:description/>
  <cp:lastModifiedBy>Lars Voges</cp:lastModifiedBy>
  <cp:revision>1</cp:revision>
  <dcterms:created xsi:type="dcterms:W3CDTF">2022-10-09T16:31:00Z</dcterms:created>
  <dcterms:modified xsi:type="dcterms:W3CDTF">2022-10-09T16:35:00Z</dcterms:modified>
</cp:coreProperties>
</file>